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FC61" w14:textId="77777777" w:rsidR="00AF7F09" w:rsidRPr="009B2196" w:rsidRDefault="00AF7F09" w:rsidP="00AF7F09">
      <w:pPr>
        <w:pStyle w:val="Heading5"/>
        <w:shd w:val="clear" w:color="auto" w:fill="FFFFFF"/>
        <w:spacing w:before="60" w:beforeAutospacing="0" w:after="60" w:afterAutospacing="0"/>
        <w:rPr>
          <w:rStyle w:val="topdisplay"/>
          <w:rFonts w:asciiTheme="minorHAnsi" w:hAnsiTheme="minorHAnsi" w:cstheme="minorHAnsi"/>
          <w:b w:val="0"/>
          <w:iCs/>
          <w:sz w:val="22"/>
          <w:szCs w:val="22"/>
          <w:bdr w:val="none" w:sz="0" w:space="0" w:color="auto" w:frame="1"/>
          <w:shd w:val="clear" w:color="auto" w:fill="FFFFFF"/>
        </w:rPr>
      </w:pPr>
      <w:r>
        <w:rPr>
          <w:rStyle w:val="topdisplay"/>
          <w:rFonts w:asciiTheme="minorHAnsi" w:hAnsiTheme="minorHAnsi" w:cstheme="minorHAnsi"/>
          <w:b w:val="0"/>
          <w:iCs/>
          <w:sz w:val="22"/>
          <w:szCs w:val="22"/>
          <w:bdr w:val="none" w:sz="0" w:space="0" w:color="auto" w:frame="1"/>
          <w:shd w:val="clear" w:color="auto" w:fill="FFFFFF"/>
        </w:rPr>
        <w:t>163</w:t>
      </w:r>
    </w:p>
    <w:p w14:paraId="4177E4AA" w14:textId="77777777" w:rsidR="00AF7F09" w:rsidRPr="009B2196" w:rsidRDefault="00AF7F09" w:rsidP="00AF7F09">
      <w:pPr>
        <w:pStyle w:val="Heading5"/>
        <w:shd w:val="clear" w:color="auto" w:fill="FFFFFF"/>
        <w:spacing w:before="60" w:beforeAutospacing="0" w:after="60" w:afterAutospacing="0"/>
        <w:rPr>
          <w:rFonts w:asciiTheme="minorHAnsi" w:hAnsiTheme="minorHAnsi" w:cstheme="minorHAnsi"/>
          <w:b w:val="0"/>
          <w:sz w:val="22"/>
          <w:szCs w:val="22"/>
        </w:rPr>
      </w:pPr>
      <w:proofErr w:type="spellStart"/>
      <w:r w:rsidRPr="009B2196">
        <w:rPr>
          <w:rStyle w:val="topdisplay"/>
          <w:rFonts w:asciiTheme="minorHAnsi" w:hAnsiTheme="minorHAnsi" w:cstheme="minorHAnsi"/>
          <w:b w:val="0"/>
          <w:iCs/>
          <w:sz w:val="22"/>
          <w:szCs w:val="22"/>
          <w:bdr w:val="none" w:sz="0" w:space="0" w:color="auto" w:frame="1"/>
          <w:shd w:val="clear" w:color="auto" w:fill="FFFFFF"/>
        </w:rPr>
        <w:t>Duesing</w:t>
      </w:r>
      <w:proofErr w:type="spellEnd"/>
      <w:r w:rsidRPr="009B2196">
        <w:rPr>
          <w:rStyle w:val="topdisplay"/>
          <w:rFonts w:asciiTheme="minorHAnsi" w:hAnsiTheme="minorHAnsi" w:cstheme="minorHAnsi"/>
          <w:b w:val="0"/>
          <w:iCs/>
          <w:sz w:val="22"/>
          <w:szCs w:val="22"/>
          <w:bdr w:val="none" w:sz="0" w:space="0" w:color="auto" w:frame="1"/>
          <w:shd w:val="clear" w:color="auto" w:fill="FFFFFF"/>
        </w:rPr>
        <w:t xml:space="preserve">, W., </w:t>
      </w:r>
      <w:proofErr w:type="spellStart"/>
      <w:r w:rsidRPr="009B2196">
        <w:rPr>
          <w:rStyle w:val="topdisplay"/>
          <w:rFonts w:asciiTheme="minorHAnsi" w:hAnsiTheme="minorHAnsi" w:cstheme="minorHAnsi"/>
          <w:b w:val="0"/>
          <w:iCs/>
          <w:sz w:val="22"/>
          <w:szCs w:val="22"/>
          <w:bdr w:val="none" w:sz="0" w:space="0" w:color="auto" w:frame="1"/>
          <w:shd w:val="clear" w:color="auto" w:fill="FFFFFF"/>
        </w:rPr>
        <w:t>Trauth</w:t>
      </w:r>
      <w:proofErr w:type="spellEnd"/>
      <w:r w:rsidRPr="009B2196">
        <w:rPr>
          <w:rStyle w:val="topdisplay"/>
          <w:rFonts w:asciiTheme="minorHAnsi" w:hAnsiTheme="minorHAnsi" w:cstheme="minorHAnsi"/>
          <w:b w:val="0"/>
          <w:iCs/>
          <w:sz w:val="22"/>
          <w:szCs w:val="22"/>
          <w:bdr w:val="none" w:sz="0" w:space="0" w:color="auto" w:frame="1"/>
          <w:shd w:val="clear" w:color="auto" w:fill="FFFFFF"/>
        </w:rPr>
        <w:t xml:space="preserve">, M., Thom J., </w:t>
      </w:r>
      <w:proofErr w:type="spellStart"/>
      <w:r w:rsidRPr="009B2196">
        <w:rPr>
          <w:rStyle w:val="topdisplay"/>
          <w:rFonts w:asciiTheme="minorHAnsi" w:hAnsiTheme="minorHAnsi" w:cstheme="minorHAnsi"/>
          <w:b w:val="0"/>
          <w:iCs/>
          <w:sz w:val="22"/>
          <w:szCs w:val="22"/>
          <w:bdr w:val="none" w:sz="0" w:space="0" w:color="auto" w:frame="1"/>
          <w:shd w:val="clear" w:color="auto" w:fill="FFFFFF"/>
        </w:rPr>
        <w:t>Schaebitz</w:t>
      </w:r>
      <w:proofErr w:type="spellEnd"/>
      <w:r w:rsidRPr="009B2196">
        <w:rPr>
          <w:rStyle w:val="topdisplay"/>
          <w:rFonts w:asciiTheme="minorHAnsi" w:hAnsiTheme="minorHAnsi" w:cstheme="minorHAnsi"/>
          <w:b w:val="0"/>
          <w:iCs/>
          <w:sz w:val="22"/>
          <w:szCs w:val="22"/>
          <w:bdr w:val="none" w:sz="0" w:space="0" w:color="auto" w:frame="1"/>
          <w:shd w:val="clear" w:color="auto" w:fill="FFFFFF"/>
        </w:rPr>
        <w:t xml:space="preserve">, F., </w:t>
      </w:r>
      <w:proofErr w:type="spellStart"/>
      <w:r w:rsidRPr="009B2196">
        <w:rPr>
          <w:rStyle w:val="topdisplay"/>
          <w:rFonts w:asciiTheme="minorHAnsi" w:hAnsiTheme="minorHAnsi" w:cstheme="minorHAnsi"/>
          <w:b w:val="0"/>
          <w:iCs/>
          <w:sz w:val="22"/>
          <w:szCs w:val="22"/>
          <w:bdr w:val="none" w:sz="0" w:space="0" w:color="auto" w:frame="1"/>
          <w:shd w:val="clear" w:color="auto" w:fill="FFFFFF"/>
        </w:rPr>
        <w:t>Deino</w:t>
      </w:r>
      <w:proofErr w:type="spellEnd"/>
      <w:r w:rsidRPr="009B2196">
        <w:rPr>
          <w:rStyle w:val="topdisplay"/>
          <w:rFonts w:asciiTheme="minorHAnsi" w:hAnsiTheme="minorHAnsi" w:cstheme="minorHAnsi"/>
          <w:b w:val="0"/>
          <w:iCs/>
          <w:sz w:val="22"/>
          <w:szCs w:val="22"/>
          <w:bdr w:val="none" w:sz="0" w:space="0" w:color="auto" w:frame="1"/>
          <w:shd w:val="clear" w:color="auto" w:fill="FFFFFF"/>
        </w:rPr>
        <w:t xml:space="preserve">, A.L., </w:t>
      </w:r>
      <w:proofErr w:type="spellStart"/>
      <w:r w:rsidRPr="009B2196">
        <w:rPr>
          <w:rStyle w:val="topdisplay"/>
          <w:rFonts w:asciiTheme="minorHAnsi" w:hAnsiTheme="minorHAnsi" w:cstheme="minorHAnsi"/>
          <w:b w:val="0"/>
          <w:iCs/>
          <w:sz w:val="22"/>
          <w:szCs w:val="22"/>
          <w:bdr w:val="none" w:sz="0" w:space="0" w:color="auto" w:frame="1"/>
          <w:shd w:val="clear" w:color="auto" w:fill="FFFFFF"/>
        </w:rPr>
        <w:t>Asrat</w:t>
      </w:r>
      <w:proofErr w:type="spellEnd"/>
      <w:r w:rsidRPr="009B2196">
        <w:rPr>
          <w:rStyle w:val="topdisplay"/>
          <w:rFonts w:asciiTheme="minorHAnsi" w:hAnsiTheme="minorHAnsi" w:cstheme="minorHAnsi"/>
          <w:b w:val="0"/>
          <w:iCs/>
          <w:sz w:val="22"/>
          <w:szCs w:val="22"/>
          <w:bdr w:val="none" w:sz="0" w:space="0" w:color="auto" w:frame="1"/>
          <w:shd w:val="clear" w:color="auto" w:fill="FFFFFF"/>
        </w:rPr>
        <w:t xml:space="preserve">, A., Foerster, V.E., Marwan, N., Lamb, H.F., and Kraemer, H., 2018 </w:t>
      </w:r>
      <w:r w:rsidRPr="009B2196">
        <w:rPr>
          <w:rFonts w:asciiTheme="minorHAnsi" w:hAnsiTheme="minorHAnsi" w:cstheme="minorHAnsi"/>
          <w:b w:val="0"/>
          <w:sz w:val="22"/>
          <w:szCs w:val="22"/>
          <w:bdr w:val="none" w:sz="0" w:space="0" w:color="auto" w:frame="1"/>
        </w:rPr>
        <w:t>PP3</w:t>
      </w:r>
      <w:r w:rsidRPr="009B2196">
        <w:rPr>
          <w:rFonts w:asciiTheme="minorHAnsi" w:hAnsiTheme="minorHAnsi" w:cstheme="minorHAnsi"/>
          <w:b w:val="0"/>
          <w:sz w:val="22"/>
          <w:szCs w:val="22"/>
        </w:rPr>
        <w:t xml:space="preserve"> </w:t>
      </w:r>
      <w:hyperlink r:id="rId4" w:history="1">
        <w:r w:rsidRPr="009B2196">
          <w:rPr>
            <w:rStyle w:val="sessionlistnumber"/>
            <w:rFonts w:asciiTheme="minorHAnsi" w:hAnsiTheme="minorHAnsi" w:cstheme="minorHAnsi"/>
            <w:b w:val="0"/>
            <w:bCs w:val="0"/>
            <w:sz w:val="22"/>
            <w:szCs w:val="22"/>
            <w:bdr w:val="none" w:sz="0" w:space="0" w:color="auto" w:frame="1"/>
            <w:shd w:val="clear" w:color="auto" w:fill="FFFFFF"/>
          </w:rPr>
          <w:t>PP22B-02 </w:t>
        </w:r>
        <w:r w:rsidRPr="009B2196">
          <w:rPr>
            <w:rStyle w:val="sessionlisttitle"/>
            <w:rFonts w:asciiTheme="minorHAnsi" w:hAnsiTheme="minorHAnsi" w:cstheme="minorHAnsi"/>
            <w:b w:val="0"/>
            <w:sz w:val="22"/>
            <w:szCs w:val="22"/>
            <w:bdr w:val="none" w:sz="0" w:space="0" w:color="auto" w:frame="1"/>
            <w:shd w:val="clear" w:color="auto" w:fill="FFFFFF"/>
          </w:rPr>
          <w:t xml:space="preserve">Human evolution and climate change: What can we learn from the 0-630 </w:t>
        </w:r>
        <w:proofErr w:type="spellStart"/>
        <w:r w:rsidRPr="009B2196">
          <w:rPr>
            <w:rStyle w:val="sessionlisttitle"/>
            <w:rFonts w:asciiTheme="minorHAnsi" w:hAnsiTheme="minorHAnsi" w:cstheme="minorHAnsi"/>
            <w:b w:val="0"/>
            <w:sz w:val="22"/>
            <w:szCs w:val="22"/>
            <w:bdr w:val="none" w:sz="0" w:space="0" w:color="auto" w:frame="1"/>
            <w:shd w:val="clear" w:color="auto" w:fill="FFFFFF"/>
          </w:rPr>
          <w:t>kyrs</w:t>
        </w:r>
        <w:proofErr w:type="spellEnd"/>
        <w:r w:rsidRPr="009B2196">
          <w:rPr>
            <w:rStyle w:val="sessionlisttitle"/>
            <w:rFonts w:asciiTheme="minorHAnsi" w:hAnsiTheme="minorHAnsi" w:cstheme="minorHAnsi"/>
            <w:b w:val="0"/>
            <w:sz w:val="22"/>
            <w:szCs w:val="22"/>
            <w:bdr w:val="none" w:sz="0" w:space="0" w:color="auto" w:frame="1"/>
            <w:shd w:val="clear" w:color="auto" w:fill="FFFFFF"/>
          </w:rPr>
          <w:t xml:space="preserve"> BP paleoclimate record from the Chew Bahir basin in eastern Africa? </w:t>
        </w:r>
      </w:hyperlink>
      <w:r w:rsidRPr="009B2196">
        <w:rPr>
          <w:rFonts w:asciiTheme="minorHAnsi" w:hAnsiTheme="minorHAnsi" w:cstheme="minorHAnsi"/>
          <w:b w:val="0"/>
          <w:sz w:val="22"/>
          <w:szCs w:val="22"/>
        </w:rPr>
        <w:t xml:space="preserve"> AGU Fall Meeting, Washington, D.C.</w:t>
      </w:r>
    </w:p>
    <w:p w14:paraId="2F8C15EA" w14:textId="77777777" w:rsidR="00AF7F09" w:rsidRPr="008371A0" w:rsidRDefault="00AF7F09" w:rsidP="00AF7F09">
      <w:pPr>
        <w:pStyle w:val="Heading5"/>
        <w:shd w:val="clear" w:color="auto" w:fill="FFFFFF"/>
        <w:spacing w:before="60" w:beforeAutospacing="0" w:after="60" w:afterAutospacing="0"/>
        <w:rPr>
          <w:rStyle w:val="topdisplay"/>
          <w:rFonts w:asciiTheme="minorHAnsi" w:hAnsiTheme="minorHAnsi" w:cstheme="minorHAnsi"/>
          <w:b w:val="0"/>
          <w:i/>
          <w:iCs/>
          <w:sz w:val="22"/>
          <w:szCs w:val="22"/>
          <w:bdr w:val="none" w:sz="0" w:space="0" w:color="auto" w:frame="1"/>
          <w:shd w:val="clear" w:color="auto" w:fill="FFFFFF"/>
        </w:rPr>
      </w:pPr>
      <w:r w:rsidRPr="008371A0">
        <w:rPr>
          <w:rStyle w:val="topdisplay"/>
          <w:rFonts w:asciiTheme="minorHAnsi" w:hAnsiTheme="minorHAnsi" w:cstheme="minorHAnsi"/>
          <w:b w:val="0"/>
          <w:i/>
          <w:iCs/>
          <w:sz w:val="22"/>
          <w:szCs w:val="22"/>
          <w:bdr w:val="none" w:sz="0" w:space="0" w:color="auto" w:frame="1"/>
          <w:shd w:val="clear" w:color="auto" w:fill="FFFFFF"/>
        </w:rPr>
        <w:t> </w:t>
      </w:r>
    </w:p>
    <w:p w14:paraId="2C3188C7" w14:textId="77777777" w:rsidR="00AF7F09" w:rsidRPr="00DF6AFC" w:rsidRDefault="00AF7F09" w:rsidP="00AF7F09">
      <w:pPr>
        <w:spacing w:after="0" w:line="240" w:lineRule="auto"/>
        <w:rPr>
          <w:rFonts w:eastAsia="Times New Roman" w:cstheme="minorHAnsi"/>
        </w:rPr>
      </w:pPr>
      <w:r w:rsidRPr="00DF6AFC">
        <w:rPr>
          <w:rFonts w:eastAsia="Times New Roman" w:cstheme="minorHAnsi"/>
          <w:shd w:val="clear" w:color="auto" w:fill="FFFFFF"/>
        </w:rPr>
        <w:t>Numerous authors have developed hypotheses linking climate, the environment and human evolution, expansion and technological innovation in eastern Africa (e.g., Potts, 2013, Potts et al. 2018; Maslin et al., 2015). The Chew Bahir Drilling Project (CBDP) as part of the Hominin Sites Paleolakes Drilling Project (HSPDP) aims to test some of these hypotheses by providing a long, continuous and high-resolution paleoclimate records of climatic and environmental change through critical intervals of human evolution.</w:t>
      </w:r>
    </w:p>
    <w:p w14:paraId="0358FACF" w14:textId="77777777" w:rsidR="00AF7F09" w:rsidRPr="008371A0" w:rsidRDefault="00AF7F09" w:rsidP="00AF7F09">
      <w:pPr>
        <w:shd w:val="clear" w:color="auto" w:fill="FFFFFF"/>
        <w:spacing w:after="0" w:line="336" w:lineRule="atLeast"/>
        <w:rPr>
          <w:rFonts w:eastAsia="Times New Roman" w:cstheme="minorHAnsi"/>
        </w:rPr>
      </w:pPr>
      <w:r w:rsidRPr="00DF6AFC">
        <w:rPr>
          <w:rFonts w:eastAsia="Times New Roman" w:cstheme="minorHAnsi"/>
        </w:rPr>
        <w:t>Testing such hypothesis requires a very accurate age model both for the paleoclimate record, but also for the archeological/anthropological evidence. We therefore developed a MATLAB-based Multiband Wavelet Based Age Modeling Technique (</w:t>
      </w:r>
      <w:proofErr w:type="spellStart"/>
      <w:r w:rsidRPr="00DF6AFC">
        <w:rPr>
          <w:rFonts w:eastAsia="Times New Roman" w:cstheme="minorHAnsi"/>
          <w:i/>
          <w:iCs/>
          <w:bdr w:val="none" w:sz="0" w:space="0" w:color="auto" w:frame="1"/>
        </w:rPr>
        <w:t>mubawa</w:t>
      </w:r>
      <w:proofErr w:type="spellEnd"/>
      <w:r w:rsidRPr="00DF6AFC">
        <w:rPr>
          <w:rFonts w:eastAsia="Times New Roman" w:cstheme="minorHAnsi"/>
        </w:rPr>
        <w:t xml:space="preserve">), which generates an orbital tuned age model that comprises uncertainties. Next, we use a piecewise correlation using a set of different sliding windows to compare the Chew Bahir paleo records on different time scales with Indian Ocean SSTs, Terrestrial Dust and Nile-Outflow records. To classify variability and transitions we use recurrence plots/recurrence quantification analysis. Application of this method detects nonlinear features such as tipping points, which are often coherent with changes in variability and strong precursor events. The recurrences of such precursor events often lie within the life span of hominins. For individuals living during that time </w:t>
      </w:r>
      <w:proofErr w:type="gramStart"/>
      <w:r w:rsidRPr="00DF6AFC">
        <w:rPr>
          <w:rFonts w:eastAsia="Times New Roman" w:cstheme="minorHAnsi"/>
        </w:rPr>
        <w:t>these drastic climate shift</w:t>
      </w:r>
      <w:proofErr w:type="gramEnd"/>
      <w:r w:rsidRPr="00DF6AFC">
        <w:rPr>
          <w:rFonts w:eastAsia="Times New Roman" w:cstheme="minorHAnsi"/>
        </w:rPr>
        <w:t xml:space="preserve"> were perceptive and probably provoked new survival strategies that may have preserved in the archeological record.</w:t>
      </w:r>
    </w:p>
    <w:p w14:paraId="079A99BD" w14:textId="77777777" w:rsidR="00AF7F09" w:rsidRDefault="00AF7F09" w:rsidP="00AF7F09">
      <w:pPr>
        <w:shd w:val="clear" w:color="auto" w:fill="FFFFFF"/>
        <w:spacing w:after="0" w:line="336" w:lineRule="atLeast"/>
        <w:rPr>
          <w:rFonts w:cstheme="minorHAnsi"/>
        </w:rPr>
      </w:pPr>
    </w:p>
    <w:p w14:paraId="4E81F463" w14:textId="77777777" w:rsidR="00911F32" w:rsidRDefault="00911F32">
      <w:bookmarkStart w:id="0" w:name="_GoBack"/>
      <w:bookmarkEnd w:id="0"/>
    </w:p>
    <w:sectPr w:rsidR="00911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09"/>
    <w:rsid w:val="00911F32"/>
    <w:rsid w:val="00A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D679"/>
  <w15:chartTrackingRefBased/>
  <w15:docId w15:val="{5BDA4058-3D6A-4BFD-890B-813EF605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F09"/>
  </w:style>
  <w:style w:type="paragraph" w:styleId="Heading5">
    <w:name w:val="heading 5"/>
    <w:basedOn w:val="Normal"/>
    <w:link w:val="Heading5Char"/>
    <w:uiPriority w:val="9"/>
    <w:qFormat/>
    <w:rsid w:val="00AF7F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F7F09"/>
    <w:rPr>
      <w:rFonts w:ascii="Times New Roman" w:eastAsia="Times New Roman" w:hAnsi="Times New Roman" w:cs="Times New Roman"/>
      <w:b/>
      <w:bCs/>
      <w:sz w:val="20"/>
      <w:szCs w:val="20"/>
    </w:rPr>
  </w:style>
  <w:style w:type="character" w:customStyle="1" w:styleId="sessionlistnumber">
    <w:name w:val="sessionlistnumber"/>
    <w:basedOn w:val="DefaultParagraphFont"/>
    <w:rsid w:val="00AF7F09"/>
  </w:style>
  <w:style w:type="character" w:customStyle="1" w:styleId="sessionlisttitle">
    <w:name w:val="sessionlisttitle"/>
    <w:basedOn w:val="DefaultParagraphFont"/>
    <w:rsid w:val="00AF7F09"/>
  </w:style>
  <w:style w:type="character" w:customStyle="1" w:styleId="topdisplay">
    <w:name w:val="topdisplay"/>
    <w:basedOn w:val="DefaultParagraphFont"/>
    <w:rsid w:val="00AF7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gu.confex.com/agu/fm18/meetingapp.cgi/Paper/406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1</cp:revision>
  <dcterms:created xsi:type="dcterms:W3CDTF">2019-01-03T19:10:00Z</dcterms:created>
  <dcterms:modified xsi:type="dcterms:W3CDTF">2019-01-03T19:11:00Z</dcterms:modified>
</cp:coreProperties>
</file>